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9A" w:rsidRPr="00FA7A9A" w:rsidRDefault="00FA7A9A" w:rsidP="00FA7A9A">
      <w:pPr>
        <w:contextualSpacing/>
        <w:jc w:val="both"/>
        <w:rPr>
          <w:rFonts w:ascii="Arial" w:hAnsi="Arial" w:cs="Arial"/>
          <w:b/>
          <w:sz w:val="28"/>
        </w:rPr>
      </w:pPr>
      <w:r w:rsidRPr="00FA7A9A">
        <w:rPr>
          <w:rFonts w:ascii="Arial" w:hAnsi="Arial" w:cs="Arial"/>
          <w:b/>
          <w:sz w:val="28"/>
        </w:rPr>
        <w:t>Appendix A</w:t>
      </w:r>
      <w:r>
        <w:rPr>
          <w:rFonts w:ascii="Arial" w:hAnsi="Arial" w:cs="Arial"/>
          <w:b/>
          <w:sz w:val="28"/>
        </w:rPr>
        <w:t xml:space="preserve"> - </w:t>
      </w:r>
      <w:r w:rsidRPr="00FA7A9A">
        <w:rPr>
          <w:rFonts w:ascii="Arial" w:hAnsi="Arial" w:cs="Arial"/>
          <w:b/>
          <w:sz w:val="28"/>
        </w:rPr>
        <w:t>High-level progress update on the LGA Fair Funding Review and Business Rates Retention work programme</w:t>
      </w:r>
      <w:bookmarkStart w:id="0" w:name="_GoBack"/>
      <w:bookmarkEnd w:id="0"/>
    </w:p>
    <w:p w:rsidR="00FA7A9A" w:rsidRDefault="00FA7A9A" w:rsidP="00FA7A9A">
      <w:pPr>
        <w:contextualSpacing/>
        <w:jc w:val="both"/>
        <w:rPr>
          <w:rFonts w:ascii="Arial" w:hAnsi="Arial" w:cs="Arial"/>
        </w:rPr>
      </w:pPr>
    </w:p>
    <w:tbl>
      <w:tblPr>
        <w:tblW w:w="10065" w:type="dxa"/>
        <w:tblInd w:w="-294" w:type="dxa"/>
        <w:tblLayout w:type="fixed"/>
        <w:tblCellMar>
          <w:left w:w="0" w:type="dxa"/>
          <w:right w:w="0" w:type="dxa"/>
        </w:tblCellMar>
        <w:tblLook w:val="04A0" w:firstRow="1" w:lastRow="0" w:firstColumn="1" w:lastColumn="0" w:noHBand="0" w:noVBand="1"/>
      </w:tblPr>
      <w:tblGrid>
        <w:gridCol w:w="1702"/>
        <w:gridCol w:w="5528"/>
        <w:gridCol w:w="2835"/>
      </w:tblGrid>
      <w:tr w:rsidR="00FA7A9A" w:rsidRPr="00B97FE2" w:rsidTr="00925111">
        <w:trPr>
          <w:cantSplit/>
          <w:tblHeader/>
        </w:trPr>
        <w:tc>
          <w:tcPr>
            <w:tcW w:w="170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FA7A9A" w:rsidRPr="00B97FE2" w:rsidRDefault="00FA7A9A" w:rsidP="00925111">
            <w:pPr>
              <w:rPr>
                <w:rFonts w:ascii="Arial" w:hAnsi="Arial" w:cs="Arial"/>
                <w:b/>
                <w:bCs/>
                <w:szCs w:val="22"/>
              </w:rPr>
            </w:pPr>
            <w:r w:rsidRPr="00B97FE2">
              <w:rPr>
                <w:rFonts w:ascii="Arial" w:hAnsi="Arial" w:cs="Arial"/>
                <w:b/>
                <w:bCs/>
                <w:szCs w:val="22"/>
              </w:rPr>
              <w:t>Project</w:t>
            </w:r>
          </w:p>
        </w:tc>
        <w:tc>
          <w:tcPr>
            <w:tcW w:w="552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FA7A9A" w:rsidRPr="00B97FE2" w:rsidRDefault="00FA7A9A" w:rsidP="00925111">
            <w:pPr>
              <w:rPr>
                <w:rFonts w:ascii="Arial" w:hAnsi="Arial" w:cs="Arial"/>
                <w:b/>
                <w:bCs/>
                <w:szCs w:val="22"/>
              </w:rPr>
            </w:pPr>
            <w:r w:rsidRPr="00B97FE2">
              <w:rPr>
                <w:rFonts w:ascii="Arial" w:hAnsi="Arial" w:cs="Arial"/>
                <w:b/>
                <w:bCs/>
                <w:szCs w:val="22"/>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FA7A9A" w:rsidRPr="00B97FE2" w:rsidRDefault="00FA7A9A" w:rsidP="00925111">
            <w:pPr>
              <w:rPr>
                <w:rFonts w:ascii="Arial" w:hAnsi="Arial" w:cs="Arial"/>
                <w:b/>
                <w:bCs/>
                <w:szCs w:val="22"/>
              </w:rPr>
            </w:pPr>
            <w:r w:rsidRPr="00B97FE2">
              <w:rPr>
                <w:rFonts w:ascii="Arial" w:hAnsi="Arial" w:cs="Arial"/>
                <w:b/>
                <w:bCs/>
                <w:szCs w:val="22"/>
              </w:rPr>
              <w:t>Quick update</w:t>
            </w:r>
          </w:p>
        </w:tc>
      </w:tr>
      <w:tr w:rsidR="00FA7A9A" w:rsidRPr="00B97FE2" w:rsidTr="00925111">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r>
              <w:rPr>
                <w:rFonts w:ascii="Arial" w:hAnsi="Arial" w:cs="Arial"/>
                <w:sz w:val="21"/>
                <w:szCs w:val="21"/>
              </w:rPr>
              <w:t>Criteria</w:t>
            </w:r>
            <w:r w:rsidRPr="00E5572C">
              <w:rPr>
                <w:rFonts w:ascii="Arial" w:hAnsi="Arial" w:cs="Arial"/>
                <w:sz w:val="21"/>
                <w:szCs w:val="21"/>
              </w:rPr>
              <w:t xml:space="preserve"> for assessing proposed distribution models and methodologies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r w:rsidRPr="00E5572C">
              <w:rPr>
                <w:rFonts w:ascii="Arial" w:hAnsi="Arial" w:cs="Arial"/>
                <w:sz w:val="21"/>
                <w:szCs w:val="21"/>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hyperlink r:id="rId7" w:history="1">
              <w:r w:rsidRPr="00E8044E">
                <w:rPr>
                  <w:rStyle w:val="Hyperlink"/>
                  <w:rFonts w:ascii="Arial" w:hAnsi="Arial" w:cs="Arial"/>
                  <w:sz w:val="21"/>
                  <w:szCs w:val="21"/>
                </w:rPr>
                <w:t>Complete</w:t>
              </w:r>
            </w:hyperlink>
          </w:p>
        </w:tc>
      </w:tr>
      <w:tr w:rsidR="00FA7A9A" w:rsidRPr="00B97FE2" w:rsidTr="00925111">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r w:rsidRPr="00E5572C">
              <w:rPr>
                <w:rFonts w:ascii="Arial" w:hAnsi="Arial" w:cs="Arial"/>
                <w:sz w:val="21"/>
                <w:szCs w:val="21"/>
              </w:rPr>
              <w:t>Formula grant: update the data</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FA7A9A" w:rsidRPr="00E5572C" w:rsidRDefault="00FA7A9A" w:rsidP="00925111">
            <w:pPr>
              <w:rPr>
                <w:rFonts w:ascii="Arial" w:hAnsi="Arial" w:cs="Arial"/>
                <w:sz w:val="21"/>
                <w:szCs w:val="21"/>
              </w:rPr>
            </w:pPr>
            <w:r w:rsidRPr="00E5572C">
              <w:rPr>
                <w:rFonts w:ascii="Arial" w:hAnsi="Arial" w:cs="Arial"/>
                <w:sz w:val="21"/>
                <w:szCs w:val="21"/>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rsidR="00FA7A9A" w:rsidRPr="00E5572C" w:rsidRDefault="00FA7A9A" w:rsidP="00925111">
            <w:pPr>
              <w:rPr>
                <w:rFonts w:ascii="Arial" w:hAnsi="Arial" w:cs="Arial"/>
                <w:sz w:val="21"/>
                <w:szCs w:val="21"/>
              </w:rPr>
            </w:pPr>
          </w:p>
          <w:p w:rsidR="00FA7A9A" w:rsidRPr="00E5572C" w:rsidRDefault="00FA7A9A" w:rsidP="00925111">
            <w:pPr>
              <w:rPr>
                <w:rFonts w:ascii="Arial" w:hAnsi="Arial" w:cs="Arial"/>
                <w:sz w:val="21"/>
                <w:szCs w:val="21"/>
              </w:rPr>
            </w:pPr>
            <w:r w:rsidRPr="00E5572C">
              <w:rPr>
                <w:rFonts w:ascii="Arial" w:hAnsi="Arial" w:cs="Arial"/>
                <w:sz w:val="21"/>
                <w:szCs w:val="21"/>
              </w:rPr>
              <w:t xml:space="preserve">To help the LGA and member authorities form policy on the </w:t>
            </w:r>
            <w:r>
              <w:rPr>
                <w:rFonts w:ascii="Arial" w:hAnsi="Arial" w:cs="Arial"/>
                <w:sz w:val="21"/>
                <w:szCs w:val="21"/>
              </w:rPr>
              <w:t xml:space="preserve">data used in the formulae and the </w:t>
            </w:r>
            <w:r w:rsidRPr="00E5572C">
              <w:rPr>
                <w:rFonts w:ascii="Arial" w:hAnsi="Arial" w:cs="Arial"/>
                <w:sz w:val="21"/>
                <w:szCs w:val="21"/>
              </w:rPr>
              <w:t>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7A9A" w:rsidRDefault="00FA7A9A" w:rsidP="00925111">
            <w:pPr>
              <w:rPr>
                <w:rFonts w:ascii="Arial" w:hAnsi="Arial" w:cs="Arial"/>
                <w:sz w:val="21"/>
                <w:szCs w:val="21"/>
              </w:rPr>
            </w:pPr>
            <w:hyperlink r:id="rId8" w:history="1">
              <w:r w:rsidRPr="00E8044E">
                <w:rPr>
                  <w:rStyle w:val="Hyperlink"/>
                  <w:rFonts w:ascii="Arial" w:hAnsi="Arial" w:cs="Arial"/>
                  <w:sz w:val="21"/>
                  <w:szCs w:val="21"/>
                </w:rPr>
                <w:t>Complete</w:t>
              </w:r>
            </w:hyperlink>
          </w:p>
          <w:p w:rsidR="00FA7A9A" w:rsidRPr="00E5572C" w:rsidRDefault="00FA7A9A" w:rsidP="00925111">
            <w:pPr>
              <w:rPr>
                <w:rFonts w:ascii="Arial" w:hAnsi="Arial" w:cs="Arial"/>
                <w:sz w:val="21"/>
                <w:szCs w:val="21"/>
              </w:rPr>
            </w:pPr>
          </w:p>
        </w:tc>
      </w:tr>
      <w:tr w:rsidR="00FA7A9A" w:rsidRPr="00B97FE2" w:rsidTr="00925111">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r w:rsidRPr="00E5572C">
              <w:rPr>
                <w:rFonts w:ascii="Arial" w:hAnsi="Arial" w:cs="Arial"/>
                <w:sz w:val="21"/>
                <w:szCs w:val="21"/>
              </w:rPr>
              <w:t>Distribution model: develop a distribution model</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FA7A9A" w:rsidRPr="00E5572C" w:rsidRDefault="00FA7A9A" w:rsidP="00925111">
            <w:pPr>
              <w:rPr>
                <w:rFonts w:ascii="Arial" w:hAnsi="Arial" w:cs="Arial"/>
                <w:sz w:val="21"/>
                <w:szCs w:val="21"/>
              </w:rPr>
            </w:pPr>
            <w:r w:rsidRPr="00E5572C">
              <w:rPr>
                <w:rFonts w:ascii="Arial" w:hAnsi="Arial" w:cs="Arial"/>
                <w:sz w:val="21"/>
                <w:szCs w:val="21"/>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r>
              <w:rPr>
                <w:rFonts w:ascii="Arial" w:hAnsi="Arial" w:cs="Arial"/>
                <w:sz w:val="21"/>
                <w:szCs w:val="21"/>
              </w:rPr>
              <w:t>At the time of writing, final clearance by LGA Chairman and Group Leaders was expected shortly</w:t>
            </w:r>
          </w:p>
        </w:tc>
      </w:tr>
      <w:tr w:rsidR="00FA7A9A" w:rsidRPr="00B97FE2" w:rsidTr="00925111">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7A9A" w:rsidRPr="00E5572C" w:rsidRDefault="00FA7A9A" w:rsidP="00925111">
            <w:pPr>
              <w:rPr>
                <w:rFonts w:ascii="Arial" w:hAnsi="Arial" w:cs="Arial"/>
                <w:sz w:val="21"/>
                <w:szCs w:val="21"/>
              </w:rPr>
            </w:pPr>
            <w:r w:rsidRPr="00E5572C">
              <w:rPr>
                <w:rFonts w:ascii="Arial" w:hAnsi="Arial" w:cs="Arial"/>
                <w:sz w:val="21"/>
                <w:szCs w:val="21"/>
              </w:rPr>
              <w:t>Council tax equalisation: develop an equalisation model</w:t>
            </w:r>
          </w:p>
          <w:p w:rsidR="00FA7A9A" w:rsidRPr="00E5572C" w:rsidRDefault="00FA7A9A" w:rsidP="00925111">
            <w:pPr>
              <w:rPr>
                <w:rFonts w:ascii="Arial" w:hAnsi="Arial" w:cs="Arial"/>
                <w:sz w:val="21"/>
                <w:szCs w:val="21"/>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r w:rsidRPr="00E5572C">
              <w:rPr>
                <w:rFonts w:ascii="Arial" w:hAnsi="Arial" w:cs="Arial"/>
                <w:sz w:val="21"/>
                <w:szCs w:val="21"/>
              </w:rPr>
              <w:t>A model to identify the impact of adjustments for council tax and council tax support on individual authorities.</w:t>
            </w:r>
          </w:p>
          <w:p w:rsidR="00FA7A9A" w:rsidRPr="00E5572C" w:rsidRDefault="00FA7A9A" w:rsidP="00925111">
            <w:pPr>
              <w:rPr>
                <w:rFonts w:ascii="Arial" w:hAnsi="Arial" w:cs="Arial"/>
                <w:sz w:val="21"/>
                <w:szCs w:val="21"/>
              </w:rPr>
            </w:pPr>
            <w:r w:rsidRPr="00E5572C">
              <w:rPr>
                <w:rFonts w:ascii="Arial" w:hAnsi="Arial" w:cs="Arial"/>
                <w:sz w:val="21"/>
                <w:szCs w:val="21"/>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r>
              <w:rPr>
                <w:rFonts w:ascii="Arial" w:hAnsi="Arial" w:cs="Arial"/>
                <w:sz w:val="21"/>
                <w:szCs w:val="21"/>
              </w:rPr>
              <w:t>At the time of writing, final clearance by LGA Chairman and Group Leaders was expected shortly</w:t>
            </w:r>
          </w:p>
        </w:tc>
      </w:tr>
      <w:tr w:rsidR="00FA7A9A" w:rsidRPr="00B97FE2" w:rsidTr="00925111">
        <w:trPr>
          <w:cantSplit/>
        </w:trPr>
        <w:tc>
          <w:tcPr>
            <w:tcW w:w="17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rPr>
            </w:pPr>
            <w:r w:rsidRPr="00E5572C">
              <w:rPr>
                <w:rFonts w:ascii="Arial" w:hAnsi="Arial" w:cs="Arial"/>
                <w:sz w:val="21"/>
                <w:szCs w:val="21"/>
              </w:rPr>
              <w:t>Damping</w:t>
            </w:r>
          </w:p>
          <w:p w:rsidR="00FA7A9A" w:rsidRPr="00E5572C" w:rsidRDefault="00FA7A9A" w:rsidP="00925111">
            <w:pPr>
              <w:rPr>
                <w:rFonts w:ascii="Arial" w:hAnsi="Arial" w:cs="Arial"/>
                <w:sz w:val="21"/>
                <w:szCs w:val="21"/>
              </w:rPr>
            </w:pPr>
            <w:r w:rsidRPr="00E5572C">
              <w:rPr>
                <w:rFonts w:ascii="Arial" w:hAnsi="Arial" w:cs="Arial"/>
                <w:sz w:val="21"/>
                <w:szCs w:val="21"/>
              </w:rPr>
              <w:t xml:space="preserve">/transition mechanisms </w:t>
            </w: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7A9A" w:rsidRPr="00E5572C" w:rsidRDefault="00FA7A9A" w:rsidP="00925111">
            <w:pPr>
              <w:pStyle w:val="ListParagraph"/>
              <w:ind w:left="0"/>
              <w:rPr>
                <w:rFonts w:ascii="Arial" w:hAnsi="Arial" w:cs="Arial"/>
                <w:sz w:val="21"/>
                <w:szCs w:val="21"/>
              </w:rPr>
            </w:pPr>
            <w:r w:rsidRPr="00E5572C">
              <w:rPr>
                <w:rFonts w:ascii="Arial" w:hAnsi="Arial" w:cs="Arial"/>
                <w:sz w:val="21"/>
                <w:szCs w:val="21"/>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7A9A" w:rsidRPr="00E5572C" w:rsidRDefault="00FA7A9A" w:rsidP="00925111">
            <w:pPr>
              <w:rPr>
                <w:rFonts w:ascii="Arial" w:hAnsi="Arial" w:cs="Arial"/>
                <w:sz w:val="21"/>
                <w:szCs w:val="21"/>
                <w:highlight w:val="yellow"/>
              </w:rPr>
            </w:pPr>
            <w:r w:rsidRPr="00D91E1D">
              <w:rPr>
                <w:rFonts w:ascii="Arial" w:hAnsi="Arial" w:cs="Arial"/>
                <w:sz w:val="21"/>
                <w:szCs w:val="21"/>
              </w:rPr>
              <w:t>Request for quotation published, suppliers invited to bid</w:t>
            </w:r>
          </w:p>
        </w:tc>
      </w:tr>
      <w:tr w:rsidR="00FA7A9A" w:rsidRPr="00B97FE2" w:rsidTr="00925111">
        <w:trPr>
          <w:cantSplit/>
        </w:trPr>
        <w:tc>
          <w:tcPr>
            <w:tcW w:w="1702" w:type="dxa"/>
            <w:tcBorders>
              <w:top w:val="nil"/>
              <w:left w:val="single" w:sz="8" w:space="0" w:color="auto"/>
              <w:bottom w:val="nil"/>
              <w:right w:val="single" w:sz="8" w:space="0" w:color="auto"/>
            </w:tcBorders>
            <w:tcMar>
              <w:top w:w="0" w:type="dxa"/>
              <w:left w:w="108" w:type="dxa"/>
              <w:bottom w:w="0" w:type="dxa"/>
              <w:right w:w="108" w:type="dxa"/>
            </w:tcMar>
          </w:tcPr>
          <w:p w:rsidR="00FA7A9A" w:rsidRPr="00E5572C" w:rsidRDefault="00FA7A9A" w:rsidP="00925111">
            <w:pPr>
              <w:rPr>
                <w:rFonts w:ascii="Arial" w:hAnsi="Arial" w:cs="Arial"/>
                <w:sz w:val="21"/>
                <w:szCs w:val="21"/>
              </w:rPr>
            </w:pPr>
            <w:r>
              <w:rPr>
                <w:rFonts w:ascii="Arial" w:hAnsi="Arial" w:cs="Arial"/>
                <w:sz w:val="21"/>
                <w:szCs w:val="21"/>
              </w:rPr>
              <w:t>Business Rates Retention model</w:t>
            </w:r>
          </w:p>
        </w:tc>
        <w:tc>
          <w:tcPr>
            <w:tcW w:w="5528" w:type="dxa"/>
            <w:tcBorders>
              <w:top w:val="nil"/>
              <w:left w:val="nil"/>
              <w:bottom w:val="nil"/>
              <w:right w:val="single" w:sz="8" w:space="0" w:color="auto"/>
            </w:tcBorders>
            <w:tcMar>
              <w:top w:w="0" w:type="dxa"/>
              <w:left w:w="108" w:type="dxa"/>
              <w:bottom w:w="0" w:type="dxa"/>
              <w:right w:w="108" w:type="dxa"/>
            </w:tcMar>
          </w:tcPr>
          <w:p w:rsidR="00FA7A9A" w:rsidRDefault="00FA7A9A" w:rsidP="00925111">
            <w:pPr>
              <w:pStyle w:val="ListParagraph"/>
              <w:ind w:left="0"/>
              <w:rPr>
                <w:rFonts w:ascii="Arial" w:hAnsi="Arial" w:cs="Arial"/>
                <w:sz w:val="21"/>
                <w:szCs w:val="21"/>
              </w:rPr>
            </w:pPr>
            <w:r>
              <w:rPr>
                <w:rFonts w:ascii="Arial" w:hAnsi="Arial" w:cs="Arial"/>
                <w:sz w:val="21"/>
                <w:szCs w:val="21"/>
              </w:rPr>
              <w:t>A model to enable LGA and local authorities to assess the impact of system design choices in areas including:</w:t>
            </w:r>
          </w:p>
          <w:p w:rsidR="00FA7A9A" w:rsidRPr="007924D0" w:rsidRDefault="00FA7A9A" w:rsidP="00FA7A9A">
            <w:pPr>
              <w:pStyle w:val="ListParagraph"/>
              <w:numPr>
                <w:ilvl w:val="0"/>
                <w:numId w:val="1"/>
              </w:numPr>
              <w:rPr>
                <w:rFonts w:ascii="Arial" w:hAnsi="Arial" w:cs="Arial"/>
                <w:sz w:val="21"/>
                <w:szCs w:val="21"/>
              </w:rPr>
            </w:pPr>
            <w:r w:rsidRPr="007924D0">
              <w:rPr>
                <w:rFonts w:ascii="Arial" w:hAnsi="Arial" w:cs="Arial"/>
                <w:sz w:val="21"/>
                <w:szCs w:val="21"/>
              </w:rPr>
              <w:t xml:space="preserve">The setting </w:t>
            </w:r>
            <w:r>
              <w:rPr>
                <w:rFonts w:ascii="Arial" w:hAnsi="Arial" w:cs="Arial"/>
                <w:sz w:val="21"/>
                <w:szCs w:val="21"/>
              </w:rPr>
              <w:t>of business rates baselines;</w:t>
            </w:r>
          </w:p>
          <w:p w:rsidR="00FA7A9A" w:rsidRPr="007924D0" w:rsidRDefault="00FA7A9A" w:rsidP="00FA7A9A">
            <w:pPr>
              <w:pStyle w:val="ListParagraph"/>
              <w:numPr>
                <w:ilvl w:val="0"/>
                <w:numId w:val="1"/>
              </w:numPr>
              <w:rPr>
                <w:rFonts w:ascii="Arial" w:hAnsi="Arial" w:cs="Arial"/>
                <w:sz w:val="21"/>
                <w:szCs w:val="21"/>
              </w:rPr>
            </w:pPr>
            <w:r w:rsidRPr="007924D0">
              <w:rPr>
                <w:rFonts w:ascii="Arial" w:hAnsi="Arial" w:cs="Arial"/>
                <w:sz w:val="21"/>
                <w:szCs w:val="21"/>
              </w:rPr>
              <w:t>The extent and freq</w:t>
            </w:r>
            <w:r>
              <w:rPr>
                <w:rFonts w:ascii="Arial" w:hAnsi="Arial" w:cs="Arial"/>
                <w:sz w:val="21"/>
                <w:szCs w:val="21"/>
              </w:rPr>
              <w:t>uency of business rates resets;</w:t>
            </w:r>
          </w:p>
          <w:p w:rsidR="00FA7A9A" w:rsidRPr="007924D0" w:rsidRDefault="00FA7A9A" w:rsidP="00FA7A9A">
            <w:pPr>
              <w:pStyle w:val="ListParagraph"/>
              <w:numPr>
                <w:ilvl w:val="0"/>
                <w:numId w:val="1"/>
              </w:numPr>
              <w:rPr>
                <w:rFonts w:ascii="Arial" w:hAnsi="Arial" w:cs="Arial"/>
                <w:sz w:val="21"/>
                <w:szCs w:val="21"/>
              </w:rPr>
            </w:pPr>
            <w:r w:rsidRPr="007924D0">
              <w:rPr>
                <w:rFonts w:ascii="Arial" w:hAnsi="Arial" w:cs="Arial"/>
                <w:sz w:val="21"/>
                <w:szCs w:val="21"/>
              </w:rPr>
              <w:t>Deal</w:t>
            </w:r>
            <w:r>
              <w:rPr>
                <w:rFonts w:ascii="Arial" w:hAnsi="Arial" w:cs="Arial"/>
                <w:sz w:val="21"/>
                <w:szCs w:val="21"/>
              </w:rPr>
              <w:t>ing with losses due to appeals;</w:t>
            </w:r>
          </w:p>
          <w:p w:rsidR="00FA7A9A" w:rsidRPr="007924D0" w:rsidRDefault="00FA7A9A" w:rsidP="00FA7A9A">
            <w:pPr>
              <w:pStyle w:val="ListParagraph"/>
              <w:numPr>
                <w:ilvl w:val="0"/>
                <w:numId w:val="1"/>
              </w:numPr>
              <w:rPr>
                <w:rFonts w:ascii="Arial" w:hAnsi="Arial" w:cs="Arial"/>
                <w:sz w:val="21"/>
                <w:szCs w:val="21"/>
              </w:rPr>
            </w:pPr>
            <w:r w:rsidRPr="007924D0">
              <w:rPr>
                <w:rFonts w:ascii="Arial" w:hAnsi="Arial" w:cs="Arial"/>
                <w:sz w:val="21"/>
                <w:szCs w:val="21"/>
              </w:rPr>
              <w:t>The level of the safet</w:t>
            </w:r>
            <w:r>
              <w:rPr>
                <w:rFonts w:ascii="Arial" w:hAnsi="Arial" w:cs="Arial"/>
                <w:sz w:val="21"/>
                <w:szCs w:val="21"/>
              </w:rPr>
              <w:t>y net and how it is funded; and</w:t>
            </w:r>
          </w:p>
          <w:p w:rsidR="00FA7A9A" w:rsidRPr="00587434" w:rsidRDefault="00FA7A9A" w:rsidP="00FA7A9A">
            <w:pPr>
              <w:pStyle w:val="ListParagraph"/>
              <w:numPr>
                <w:ilvl w:val="0"/>
                <w:numId w:val="1"/>
              </w:numPr>
              <w:rPr>
                <w:rFonts w:ascii="Arial" w:hAnsi="Arial" w:cs="Arial"/>
                <w:sz w:val="21"/>
                <w:szCs w:val="21"/>
              </w:rPr>
            </w:pPr>
            <w:r w:rsidRPr="007924D0">
              <w:rPr>
                <w:rFonts w:ascii="Arial" w:hAnsi="Arial" w:cs="Arial"/>
                <w:sz w:val="21"/>
                <w:szCs w:val="21"/>
              </w:rPr>
              <w:t>The split of business</w:t>
            </w:r>
            <w:r>
              <w:rPr>
                <w:rFonts w:ascii="Arial" w:hAnsi="Arial" w:cs="Arial"/>
                <w:sz w:val="21"/>
                <w:szCs w:val="21"/>
              </w:rPr>
              <w:t xml:space="preserve"> rates income in two-tier areas.</w:t>
            </w:r>
          </w:p>
        </w:tc>
        <w:tc>
          <w:tcPr>
            <w:tcW w:w="2835" w:type="dxa"/>
            <w:tcBorders>
              <w:top w:val="nil"/>
              <w:left w:val="nil"/>
              <w:bottom w:val="nil"/>
              <w:right w:val="single" w:sz="8" w:space="0" w:color="auto"/>
            </w:tcBorders>
            <w:tcMar>
              <w:top w:w="0" w:type="dxa"/>
              <w:left w:w="108" w:type="dxa"/>
              <w:bottom w:w="0" w:type="dxa"/>
              <w:right w:w="108" w:type="dxa"/>
            </w:tcMar>
          </w:tcPr>
          <w:p w:rsidR="00FA7A9A" w:rsidRPr="00D91E1D" w:rsidRDefault="00FA7A9A" w:rsidP="00925111">
            <w:pPr>
              <w:rPr>
                <w:rFonts w:ascii="Arial" w:hAnsi="Arial" w:cs="Arial"/>
                <w:sz w:val="21"/>
                <w:szCs w:val="21"/>
              </w:rPr>
            </w:pPr>
            <w:r>
              <w:rPr>
                <w:rFonts w:ascii="Arial" w:hAnsi="Arial" w:cs="Arial"/>
                <w:sz w:val="21"/>
                <w:szCs w:val="21"/>
              </w:rPr>
              <w:t>By the time of the Resources Board suppliers should be in the process of being appointed.</w:t>
            </w:r>
          </w:p>
        </w:tc>
      </w:tr>
      <w:tr w:rsidR="00FA7A9A" w:rsidRPr="00B97FE2" w:rsidTr="00925111">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7A9A" w:rsidRDefault="00FA7A9A" w:rsidP="00925111">
            <w:pPr>
              <w:rPr>
                <w:rFonts w:ascii="Arial" w:hAnsi="Arial" w:cs="Arial"/>
                <w:sz w:val="21"/>
                <w:szCs w:val="21"/>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FA7A9A" w:rsidRPr="00E5572C" w:rsidRDefault="00FA7A9A" w:rsidP="00925111">
            <w:pPr>
              <w:pStyle w:val="ListParagraph"/>
              <w:ind w:left="0"/>
              <w:rPr>
                <w:rFonts w:ascii="Arial" w:hAnsi="Arial" w:cs="Arial"/>
                <w:sz w:val="21"/>
                <w:szCs w:val="21"/>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A7A9A" w:rsidRPr="00D91E1D" w:rsidRDefault="00FA7A9A" w:rsidP="00925111">
            <w:pPr>
              <w:rPr>
                <w:rFonts w:ascii="Arial" w:hAnsi="Arial" w:cs="Arial"/>
                <w:sz w:val="21"/>
                <w:szCs w:val="21"/>
              </w:rPr>
            </w:pPr>
          </w:p>
        </w:tc>
      </w:tr>
    </w:tbl>
    <w:p w:rsidR="00FA7A9A" w:rsidRDefault="00FA7A9A" w:rsidP="00FA7A9A">
      <w:pPr>
        <w:rPr>
          <w:rFonts w:ascii="Arial" w:hAnsi="Arial" w:cs="Arial"/>
          <w:b/>
        </w:rPr>
      </w:pPr>
    </w:p>
    <w:p w:rsidR="0068408C" w:rsidRPr="00FA7A9A" w:rsidRDefault="0068408C" w:rsidP="00FA7A9A">
      <w:pPr>
        <w:spacing w:after="160" w:line="259" w:lineRule="auto"/>
        <w:rPr>
          <w:rFonts w:ascii="Arial" w:hAnsi="Arial" w:cs="Arial"/>
          <w:b/>
        </w:rPr>
      </w:pPr>
    </w:p>
    <w:sectPr w:rsidR="0068408C" w:rsidRPr="00FA7A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9A" w:rsidRDefault="00FA7A9A" w:rsidP="00FA7A9A">
      <w:r>
        <w:separator/>
      </w:r>
    </w:p>
  </w:endnote>
  <w:endnote w:type="continuationSeparator" w:id="0">
    <w:p w:rsidR="00FA7A9A" w:rsidRDefault="00FA7A9A" w:rsidP="00FA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9A" w:rsidRDefault="00FA7A9A" w:rsidP="00FA7A9A">
      <w:r>
        <w:separator/>
      </w:r>
    </w:p>
  </w:footnote>
  <w:footnote w:type="continuationSeparator" w:id="0">
    <w:p w:rsidR="00FA7A9A" w:rsidRDefault="00FA7A9A" w:rsidP="00FA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1"/>
      <w:gridCol w:w="3205"/>
    </w:tblGrid>
    <w:tr w:rsidR="00FA7A9A" w:rsidRPr="004F266E" w:rsidTr="00925111">
      <w:tc>
        <w:tcPr>
          <w:tcW w:w="5920" w:type="dxa"/>
          <w:vMerge w:val="restart"/>
          <w:shd w:val="clear" w:color="auto" w:fill="auto"/>
        </w:tcPr>
        <w:p w:rsidR="00FA7A9A" w:rsidRPr="00374227" w:rsidRDefault="00FA7A9A" w:rsidP="00FA7A9A">
          <w:pPr>
            <w:pStyle w:val="Header"/>
            <w:tabs>
              <w:tab w:val="center" w:pos="2923"/>
            </w:tabs>
          </w:pPr>
          <w:r>
            <w:rPr>
              <w:noProof/>
            </w:rPr>
            <w:drawing>
              <wp:inline distT="0" distB="0" distL="0" distR="0" wp14:anchorId="5A8F7E02" wp14:editId="4DE1EB11">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rsidR="00FA7A9A" w:rsidRPr="00E7702B" w:rsidRDefault="00FA7A9A" w:rsidP="00FA7A9A">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FA7A9A" w:rsidTr="00925111">
      <w:trPr>
        <w:trHeight w:val="450"/>
      </w:trPr>
      <w:tc>
        <w:tcPr>
          <w:tcW w:w="5920" w:type="dxa"/>
          <w:vMerge/>
          <w:shd w:val="clear" w:color="auto" w:fill="auto"/>
        </w:tcPr>
        <w:p w:rsidR="00FA7A9A" w:rsidRPr="00374227" w:rsidRDefault="00FA7A9A" w:rsidP="00FA7A9A">
          <w:pPr>
            <w:pStyle w:val="Header"/>
          </w:pPr>
        </w:p>
      </w:tc>
      <w:tc>
        <w:tcPr>
          <w:tcW w:w="3260" w:type="dxa"/>
          <w:shd w:val="clear" w:color="auto" w:fill="auto"/>
          <w:vAlign w:val="center"/>
        </w:tcPr>
        <w:p w:rsidR="00FA7A9A" w:rsidRPr="00374227" w:rsidRDefault="00FA7A9A" w:rsidP="00FA7A9A">
          <w:pPr>
            <w:pStyle w:val="Header"/>
            <w:spacing w:before="60"/>
            <w:rPr>
              <w:rFonts w:ascii="Arial" w:hAnsi="Arial" w:cs="Arial"/>
            </w:rPr>
          </w:pPr>
          <w:r>
            <w:rPr>
              <w:rFonts w:ascii="Arial" w:hAnsi="Arial" w:cs="Arial"/>
            </w:rPr>
            <w:t>28 June</w:t>
          </w:r>
          <w:r w:rsidRPr="0B50786C">
            <w:rPr>
              <w:rFonts w:ascii="Arial" w:hAnsi="Arial" w:cs="Arial"/>
            </w:rPr>
            <w:t xml:space="preserve"> 2018 </w:t>
          </w:r>
        </w:p>
      </w:tc>
    </w:tr>
    <w:tr w:rsidR="00FA7A9A" w:rsidRPr="004F266E" w:rsidTr="00925111">
      <w:trPr>
        <w:trHeight w:val="708"/>
      </w:trPr>
      <w:tc>
        <w:tcPr>
          <w:tcW w:w="5920" w:type="dxa"/>
          <w:vMerge/>
          <w:shd w:val="clear" w:color="auto" w:fill="auto"/>
        </w:tcPr>
        <w:p w:rsidR="00FA7A9A" w:rsidRPr="00374227" w:rsidRDefault="00FA7A9A" w:rsidP="00FA7A9A">
          <w:pPr>
            <w:pStyle w:val="Header"/>
          </w:pPr>
        </w:p>
      </w:tc>
      <w:tc>
        <w:tcPr>
          <w:tcW w:w="3260" w:type="dxa"/>
          <w:shd w:val="clear" w:color="auto" w:fill="auto"/>
          <w:vAlign w:val="center"/>
        </w:tcPr>
        <w:p w:rsidR="00FA7A9A" w:rsidRPr="00374227" w:rsidRDefault="00FA7A9A" w:rsidP="00FA7A9A">
          <w:pPr>
            <w:pStyle w:val="Header"/>
            <w:spacing w:before="60"/>
            <w:rPr>
              <w:rFonts w:ascii="Arial" w:hAnsi="Arial" w:cs="Arial"/>
              <w:b/>
              <w:bCs/>
            </w:rPr>
          </w:pPr>
        </w:p>
      </w:tc>
    </w:tr>
  </w:tbl>
  <w:p w:rsidR="00FA7A9A" w:rsidRDefault="00FA7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9A"/>
    <w:rsid w:val="0068408C"/>
    <w:rsid w:val="00FA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6207D-FB93-4B4C-947F-2BF82BF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9A"/>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7A9A"/>
    <w:rPr>
      <w:color w:val="0000FF"/>
      <w:u w:val="single"/>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FA7A9A"/>
    <w:pPr>
      <w:ind w:left="720"/>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FA7A9A"/>
    <w:rPr>
      <w:rFonts w:ascii="Frutiger 45 Light" w:eastAsia="Times New Roman" w:hAnsi="Frutiger 45 Light" w:cs="Times New Roman"/>
      <w:szCs w:val="20"/>
      <w:lang w:eastAsia="en-GB"/>
    </w:rPr>
  </w:style>
  <w:style w:type="paragraph" w:styleId="Header">
    <w:name w:val="header"/>
    <w:basedOn w:val="Normal"/>
    <w:link w:val="HeaderChar"/>
    <w:unhideWhenUsed/>
    <w:rsid w:val="00FA7A9A"/>
    <w:pPr>
      <w:tabs>
        <w:tab w:val="center" w:pos="4513"/>
        <w:tab w:val="right" w:pos="9026"/>
      </w:tabs>
    </w:pPr>
  </w:style>
  <w:style w:type="character" w:customStyle="1" w:styleId="HeaderChar">
    <w:name w:val="Header Char"/>
    <w:basedOn w:val="DefaultParagraphFont"/>
    <w:link w:val="Header"/>
    <w:rsid w:val="00FA7A9A"/>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FA7A9A"/>
    <w:pPr>
      <w:tabs>
        <w:tab w:val="center" w:pos="4513"/>
        <w:tab w:val="right" w:pos="9026"/>
      </w:tabs>
    </w:pPr>
  </w:style>
  <w:style w:type="character" w:customStyle="1" w:styleId="FooterChar">
    <w:name w:val="Footer Char"/>
    <w:basedOn w:val="DefaultParagraphFont"/>
    <w:link w:val="Footer"/>
    <w:uiPriority w:val="99"/>
    <w:rsid w:val="00FA7A9A"/>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Divergence%20of%20relative%20needs%20over%20time%20%28NR%20TWG%2018%2009%29.pdf" TargetMode="External"/><Relationship Id="rId3" Type="http://schemas.openxmlformats.org/officeDocument/2006/relationships/settings" Target="settings.xml"/><Relationship Id="rId7" Type="http://schemas.openxmlformats.org/officeDocument/2006/relationships/hyperlink" Target="https://www.local.gov.uk/sites/default/files/documents/Criteria%20for%20evaluating%20fair%20funding%20review%20proposals%20%28NR%20TWG%2018%2010%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7BEA0B08</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Benn Cain</cp:lastModifiedBy>
  <cp:revision>1</cp:revision>
  <dcterms:created xsi:type="dcterms:W3CDTF">2018-06-21T14:56:00Z</dcterms:created>
  <dcterms:modified xsi:type="dcterms:W3CDTF">2018-06-21T14:57:00Z</dcterms:modified>
</cp:coreProperties>
</file>